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F5" w:rsidRPr="005D4FF5" w:rsidRDefault="005D4FF5" w:rsidP="005D4FF5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left="9639"/>
        <w:outlineLvl w:val="5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5D4FF5">
        <w:rPr>
          <w:rFonts w:ascii="Times New Roman" w:eastAsia="Times New Roman" w:hAnsi="Times New Roman" w:cs="Times New Roman"/>
          <w:sz w:val="28"/>
          <w:szCs w:val="20"/>
          <w:lang w:eastAsia="zh-CN"/>
        </w:rPr>
        <w:t>Додаток 1</w:t>
      </w:r>
    </w:p>
    <w:p w:rsidR="005D4FF5" w:rsidRPr="005D4FF5" w:rsidRDefault="005D4FF5" w:rsidP="005D4FF5">
      <w:pPr>
        <w:widowControl w:val="0"/>
        <w:suppressAutoHyphens/>
        <w:spacing w:after="0" w:line="240" w:lineRule="auto"/>
        <w:ind w:left="9639"/>
        <w:rPr>
          <w:rFonts w:ascii="Times New Roman" w:eastAsia="Lucida Sans Unicode" w:hAnsi="Times New Roman" w:cs="Times New Roman"/>
          <w:kern w:val="1"/>
          <w:sz w:val="28"/>
          <w:szCs w:val="28"/>
          <w:lang w:val="ru-RU"/>
        </w:rPr>
      </w:pPr>
      <w:r w:rsidRPr="005D4FF5">
        <w:rPr>
          <w:rFonts w:ascii="Times New Roman" w:eastAsia="Lucida Sans Unicode" w:hAnsi="Times New Roman" w:cs="Times New Roman"/>
          <w:kern w:val="1"/>
          <w:sz w:val="28"/>
          <w:szCs w:val="28"/>
          <w:lang w:val="ru-RU"/>
        </w:rPr>
        <w:t xml:space="preserve">до Програми запобігання та протидії домашньому насильству, насильству за ознакою </w:t>
      </w:r>
      <w:proofErr w:type="gramStart"/>
      <w:r w:rsidRPr="005D4FF5">
        <w:rPr>
          <w:rFonts w:ascii="Times New Roman" w:eastAsia="Lucida Sans Unicode" w:hAnsi="Times New Roman" w:cs="Times New Roman"/>
          <w:kern w:val="1"/>
          <w:sz w:val="28"/>
          <w:szCs w:val="28"/>
          <w:lang w:val="ru-RU"/>
        </w:rPr>
        <w:t>стат</w:t>
      </w:r>
      <w:proofErr w:type="gramEnd"/>
      <w:r w:rsidRPr="005D4FF5">
        <w:rPr>
          <w:rFonts w:ascii="Times New Roman" w:eastAsia="Lucida Sans Unicode" w:hAnsi="Times New Roman" w:cs="Times New Roman"/>
          <w:kern w:val="1"/>
          <w:sz w:val="28"/>
          <w:szCs w:val="28"/>
          <w:lang w:val="ru-RU"/>
        </w:rPr>
        <w:t>і та торгівлі людьми Рівненської міської територіальної громади на 2022-2026 роки</w:t>
      </w:r>
    </w:p>
    <w:p w:rsidR="005D4FF5" w:rsidRPr="005D4FF5" w:rsidRDefault="005D4FF5" w:rsidP="005D4FF5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left="9639"/>
        <w:outlineLvl w:val="5"/>
        <w:rPr>
          <w:rFonts w:ascii="Times New Roman" w:eastAsia="Times New Roman" w:hAnsi="Times New Roman" w:cs="Times New Roman"/>
          <w:b/>
          <w:sz w:val="36"/>
          <w:szCs w:val="28"/>
          <w:lang w:eastAsia="zh-CN"/>
        </w:rPr>
      </w:pPr>
    </w:p>
    <w:p w:rsidR="005D4FF5" w:rsidRPr="005D4FF5" w:rsidRDefault="005D4FF5" w:rsidP="005D4FF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kern w:val="1"/>
          <w:sz w:val="28"/>
          <w:szCs w:val="28"/>
          <w:lang w:val="ru-RU"/>
        </w:rPr>
      </w:pPr>
      <w:r w:rsidRPr="005D4FF5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ru-RU"/>
        </w:rPr>
        <w:t xml:space="preserve">ЗАВДАННЯ ТА ЗАХОДИ </w:t>
      </w:r>
      <w:r w:rsidRPr="005D4FF5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ru-RU"/>
        </w:rPr>
        <w:br/>
      </w:r>
      <w:r w:rsidRPr="005D4FF5">
        <w:rPr>
          <w:rFonts w:ascii="Times New Roman" w:eastAsia="Lucida Sans Unicode" w:hAnsi="Times New Roman" w:cs="Times New Roman"/>
          <w:b/>
          <w:caps/>
          <w:kern w:val="1"/>
          <w:sz w:val="28"/>
          <w:szCs w:val="28"/>
          <w:lang w:val="ru-RU"/>
        </w:rPr>
        <w:t xml:space="preserve">Програми запобігання та протидії домашньому насильству, </w:t>
      </w:r>
    </w:p>
    <w:p w:rsidR="005D4FF5" w:rsidRPr="005D4FF5" w:rsidRDefault="005D4FF5" w:rsidP="005D4FF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kern w:val="1"/>
          <w:sz w:val="28"/>
          <w:szCs w:val="28"/>
          <w:lang w:val="ru-RU"/>
        </w:rPr>
      </w:pPr>
      <w:r w:rsidRPr="005D4FF5">
        <w:rPr>
          <w:rFonts w:ascii="Times New Roman" w:eastAsia="Lucida Sans Unicode" w:hAnsi="Times New Roman" w:cs="Times New Roman"/>
          <w:b/>
          <w:caps/>
          <w:kern w:val="1"/>
          <w:sz w:val="28"/>
          <w:szCs w:val="28"/>
          <w:lang w:val="ru-RU"/>
        </w:rPr>
        <w:t xml:space="preserve">насильству за ознакою </w:t>
      </w:r>
      <w:proofErr w:type="gramStart"/>
      <w:r w:rsidRPr="005D4FF5">
        <w:rPr>
          <w:rFonts w:ascii="Times New Roman" w:eastAsia="Lucida Sans Unicode" w:hAnsi="Times New Roman" w:cs="Times New Roman"/>
          <w:b/>
          <w:caps/>
          <w:kern w:val="1"/>
          <w:sz w:val="28"/>
          <w:szCs w:val="28"/>
          <w:lang w:val="ru-RU"/>
        </w:rPr>
        <w:t>стат</w:t>
      </w:r>
      <w:proofErr w:type="gramEnd"/>
      <w:r w:rsidRPr="005D4FF5">
        <w:rPr>
          <w:rFonts w:ascii="Times New Roman" w:eastAsia="Lucida Sans Unicode" w:hAnsi="Times New Roman" w:cs="Times New Roman"/>
          <w:b/>
          <w:caps/>
          <w:kern w:val="1"/>
          <w:sz w:val="28"/>
          <w:szCs w:val="28"/>
          <w:lang w:val="ru-RU"/>
        </w:rPr>
        <w:t xml:space="preserve">і та торгівлі людьми </w:t>
      </w:r>
    </w:p>
    <w:p w:rsidR="005D4FF5" w:rsidRPr="005D4FF5" w:rsidRDefault="005D4FF5" w:rsidP="005D4FF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kern w:val="1"/>
          <w:sz w:val="28"/>
          <w:szCs w:val="28"/>
          <w:lang w:val="ru-RU"/>
        </w:rPr>
      </w:pPr>
      <w:proofErr w:type="gramStart"/>
      <w:r w:rsidRPr="005D4FF5">
        <w:rPr>
          <w:rFonts w:ascii="Times New Roman" w:eastAsia="Lucida Sans Unicode" w:hAnsi="Times New Roman" w:cs="Times New Roman"/>
          <w:b/>
          <w:caps/>
          <w:kern w:val="1"/>
          <w:sz w:val="28"/>
          <w:szCs w:val="28"/>
          <w:lang w:val="ru-RU"/>
        </w:rPr>
        <w:t>Р</w:t>
      </w:r>
      <w:proofErr w:type="gramEnd"/>
      <w:r w:rsidRPr="005D4FF5">
        <w:rPr>
          <w:rFonts w:ascii="Times New Roman" w:eastAsia="Lucida Sans Unicode" w:hAnsi="Times New Roman" w:cs="Times New Roman"/>
          <w:b/>
          <w:caps/>
          <w:kern w:val="1"/>
          <w:sz w:val="28"/>
          <w:szCs w:val="28"/>
          <w:lang w:val="ru-RU"/>
        </w:rPr>
        <w:t>івненської міської територіальної громади на 2022-2026 роки</w:t>
      </w:r>
    </w:p>
    <w:p w:rsidR="005D4FF5" w:rsidRPr="005D4FF5" w:rsidRDefault="005D4FF5" w:rsidP="005D4FF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10"/>
          <w:lang w:val="ru-RU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534"/>
        <w:gridCol w:w="2268"/>
        <w:gridCol w:w="2409"/>
        <w:gridCol w:w="1417"/>
        <w:gridCol w:w="2552"/>
        <w:gridCol w:w="1701"/>
        <w:gridCol w:w="992"/>
        <w:gridCol w:w="851"/>
        <w:gridCol w:w="851"/>
        <w:gridCol w:w="708"/>
        <w:gridCol w:w="851"/>
        <w:gridCol w:w="850"/>
      </w:tblGrid>
      <w:tr w:rsidR="005D4FF5" w:rsidRPr="005D4FF5" w:rsidTr="0093654D">
        <w:trPr>
          <w:tblHeader/>
        </w:trPr>
        <w:tc>
          <w:tcPr>
            <w:tcW w:w="534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 з/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Назва напрямку діяльності</w:t>
            </w:r>
          </w:p>
        </w:tc>
        <w:tc>
          <w:tcPr>
            <w:tcW w:w="2409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Перелі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заходів програми</w:t>
            </w:r>
          </w:p>
        </w:tc>
        <w:tc>
          <w:tcPr>
            <w:tcW w:w="1417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Термін виконання</w:t>
            </w:r>
          </w:p>
        </w:tc>
        <w:tc>
          <w:tcPr>
            <w:tcW w:w="2552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Джерела фінансування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Орієнтовний обсяг фінансування, тис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рн.</w:t>
            </w:r>
          </w:p>
        </w:tc>
      </w:tr>
      <w:tr w:rsidR="005D4FF5" w:rsidRPr="005D4FF5" w:rsidTr="0093654D">
        <w:trPr>
          <w:trHeight w:val="555"/>
          <w:tblHeader/>
        </w:trPr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всього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2022 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2026</w:t>
            </w:r>
          </w:p>
        </w:tc>
      </w:tr>
      <w:tr w:rsidR="005D4FF5" w:rsidRPr="005D4FF5" w:rsidTr="0093654D">
        <w:tc>
          <w:tcPr>
            <w:tcW w:w="534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val="en-US"/>
              </w:rPr>
              <w:t>1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2268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П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 xml:space="preserve">ідвищення рівня проінформованості населення про форми, прояви, причини і наслідки домашнього насильства та/або насильства за ознакою статі; розуміння суспільством природи домашнього насильства та/або насильства за ознакою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стат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і, його непропорційного впливу на жінок і чоловіків, у тому числі на осіб з інвалідністю, вагітних жінок, дітей, недієздатних осіб, осіб похилого віку</w:t>
            </w: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1.1. Здійснювати збі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 статистичних даних про факти домашнього насильства та/або насильства за ознакою статі та проведення аналізу ситуації.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івненське районне управління поліції ГУНП в Рівненській області; 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Управління патрульної поліції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Рівненський міський центр зайнятості; Управління освіти; Служба у справах дітей; Рівненській міський центр соціальних служб; Управління охорони здоров’я;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івненський місцевий центр з надання безоплатної вторинної правової допомоги;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(за згодою)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1.2. Оприлюдню-вати дані про суб’єктів, що здійснюють заходи у сфері запобігання та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lastRenderedPageBreak/>
              <w:t xml:space="preserve">протидії домашньому насильству та/або насильству за ознакою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стат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 та забезпечення доступності інформації про їх функції та обов’язки у запобіганні та протидії домашньому насильству.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івненське районне управління поліції ГУНП в 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Рівненській області; Рівненський міський центр зайнятості; Управління праці та соціального захисту населення; Управління освіти; Служба у справах дітей; Рівненській міський центр соціальних служб; Управління охорони здоров’я;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івненський місцевий центр з надання безоплатної вторинної правової допомоги;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(за згодою)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1.3. Забезпечувати розповсюдження відповідно до законодавства інформації про домашнє насильство суб’єктами, що здійснюють заходи у сфері запобігання та протидії домашньому насильству та/або насильству за ознакою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стат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і; про права, заходи та соціальні послуги, які надають різні суб’єкти; категорії осіб, які можуть ними скористатися, та порядок отримання таких послуг; про відповідальність кривдників.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івненське районне управління поліції ГУНП в Рівненській області; Рівненський міський центр зайнятості; Управління праці та соціального захисту населення; Управління освіти; Служба у справах дітей; Рівненській міський центр соціальних служб; Управління охорони здоров’я;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івненський місцевий центр з надання безоплатної вторинної правової допомоги; Рівненський міськрайонний відділ філії Державної установи «Центр пробації» у Рівненській області;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lastRenderedPageBreak/>
              <w:t>інститути громадянського суспільства (за згодою)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1.4. Вести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обл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ік даних про діяльність загальних та спеціалізованих служб підтримки постраждалих осіб та системне поширення інформації про послуги, які вони надають, і можливості їх отримання.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івненське районне управління поліції ГУНП в Рівненській області; Рівненський міський центр зайнятості; Управління праці та соціального захисту населення; Управління освіти; Служба у справах дітей; Рівненській міський центр соціальних служб; Управління охорони здоров’я;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івненський місцевий центр з надання безоплатної вторинної правової допомоги;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(за згодою)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2.</w:t>
            </w:r>
          </w:p>
        </w:tc>
        <w:tc>
          <w:tcPr>
            <w:tcW w:w="2268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lang w:eastAsia="uk-UA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 xml:space="preserve">Формування в суспільстві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нетерпимого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 xml:space="preserve"> ставлення до насильницьких моделей поведінки, небайдужого ставлення до постраждалих осіб, насамперед постраждалих дітей, усвідомлення домашнього насильства як порушення прав людини</w:t>
            </w: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2.1. Проводити місцеві інформаційно-комунікаційні кампаній для дітей, молоді, осіб похилого віку, внутрішньо переміщених осіб, учасників антитерористичної операції/операції об’єднаних сил та членів їх родин, осіб з інвалідністю, інших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соц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іальних груп, забезпечивши, у разі необхідності, осіб з порушенням слуху перекладачем жестової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lastRenderedPageBreak/>
              <w:t>мови або онлайн-перекладом жестовою мовою із застосуванням мобільних додатків.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івненське районне управління поліції ГУНП в Рівненській області; Рівненський міський центр зайнятості; Управління праці та соціального захисту населення; Управління освіти; Служба у справах дітей; Рівненській міський центр соціальних служб; Управління охорони здоров’я;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івненський місцевий центр з надання безоплатної вторинної 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правової допомоги; Рівненський міськрайонний відділ філії Державної установи «Центр пробації» у Рівненській області;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(за згодою)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lang w:eastAsia="uk-UA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2.2. Проводити інформаційні кампанії щодо формування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св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ідомого відношення до стосунків, усвідомлення наслідків та відповідальності у разі вчинення насильницьких дій. Виготовлення ряду відеороликів просвітницького характеру, виготовлення інформаційних брошур, візуальної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соц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іальної реклами (брошури, сітілайти)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Управління патрульної поліції в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івненській області.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 xml:space="preserve">2.3. Проводити інформаційно-просвітницькі кампанії, акцій для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>вс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>іх учасників освітнього процесу з метою руйнації стереотипів та формування нетерпимого ставлення до насильства.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Управління освіти.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 xml:space="preserve">2.4. Організовувати та проводити за участю дітей, учнів, їх батьків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>проф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 xml:space="preserve">ілактичних і просвітницьких заходів щодо запобігання та </w:t>
            </w:r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lastRenderedPageBreak/>
              <w:t>протидії домашньому насильству.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Управління освіти.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color w:val="000000"/>
                <w:kern w:val="1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2.5. Проводити для учнів 5- 10 класів карткову ігрову методику «Коло безпеки» щодо формування в учасників системи уявлень та знань щодо явища насильства (домашнього насильства), форм та методі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в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його попередження та подолання.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Управління освіти.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color w:val="000000"/>
                <w:kern w:val="1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2.6. Проводити тематичні уроки, бесіди, інші заходи просвітницького характеру шкільними офіцерами поліції в навчальних закладах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іста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Управління патрульної поліції в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івненській області.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color w:val="000000"/>
                <w:kern w:val="1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ind w:left="-108" w:right="-108"/>
              <w:rPr>
                <w:rFonts w:ascii="Times New Roman" w:eastAsia="Lucida Sans Unicode" w:hAnsi="Times New Roman" w:cs="Times New Roman"/>
                <w:color w:val="000000"/>
                <w:kern w:val="1"/>
                <w:lang w:eastAsia="uk-UA"/>
              </w:rPr>
            </w:pPr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  <w:lang w:eastAsia="uk-UA"/>
              </w:rPr>
              <w:t>2.7. Проведення щорічної Всесвітньої акції «16 днів проти насильства»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івненське районне управління поліції ГУНП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 Управління патрульної поліції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Управління освіти; Служба у справах дітей; Рівненській міський центр соціальних служб; Управління охорони здоров’я;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івненський місцевий центр з надання безоплатної вторинної правової допомоги;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 (за згодою)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992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48,5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8,8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9,3</w:t>
            </w:r>
          </w:p>
        </w:tc>
        <w:tc>
          <w:tcPr>
            <w:tcW w:w="708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9,8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10,3</w:t>
            </w:r>
          </w:p>
        </w:tc>
        <w:tc>
          <w:tcPr>
            <w:tcW w:w="850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10,3</w:t>
            </w:r>
          </w:p>
        </w:tc>
      </w:tr>
      <w:tr w:rsidR="005D4FF5" w:rsidRPr="005D4FF5" w:rsidTr="0093654D">
        <w:trPr>
          <w:trHeight w:val="1771"/>
        </w:trPr>
        <w:tc>
          <w:tcPr>
            <w:tcW w:w="534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3.</w:t>
            </w:r>
          </w:p>
        </w:tc>
        <w:tc>
          <w:tcPr>
            <w:tcW w:w="2268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 xml:space="preserve">Забезпечення координації та ефективної взаємодії спеціально уповноважених органів, що здійснюють заходи у сфері запобігання та протидії домашньому насильству, інших органів та установ, які виконують функції, пов’язані з проведенням заходів у сфері запобігання та протидії домашньому насильству та насильству за ознакою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стат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і</w:t>
            </w: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3.1. Розробити та затвердити механізм  реагування суб’єктів, що здійснюють заходи у сфері запобігання та протидії домашньому насильству та/або насильству за ознакою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стат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і, на випадки такого насильства  з урахуванням оцінки ризиків, що загрожують постраждалій особі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івненське районне управління поліції ГУНП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 Управління патрульної поліції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Управління освіти; Служба у справах дітей; Рівненській міський центр соціальних служб; Управління охорони здоров’я; Управління праці та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соц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іального захисту населення; Рівненський місцевий центр з надання безоплатної вторинної правової допомоги;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 (за згодою)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rPr>
          <w:trHeight w:val="1771"/>
        </w:trPr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3.2. Удосконалювати порядок інформування не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п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ізніше однієї доби про виявлені факти домашнього насильства та/або насильства за ознакою статі у випадках, передбачених законодавством, з дотриманням правового режиму інформації з обмеженим доступом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івненське районне управління поліції ГУНП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 Управління патрульної поліції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Управління освіти; Служба у справах дітей; Рівненській міський центр соціальних служб; Управління охорони здоров’я; Управління праці та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соц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іального захисту населення; Рівненський місцевий центр з надання безоплатної вторинної правової допомоги;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інститути громадянського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lastRenderedPageBreak/>
              <w:t>суспільства  (за згодою)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rPr>
          <w:trHeight w:val="1771"/>
        </w:trPr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3.3. Узгодити завдання із запобігання та протидії домашньому насильству та/або насильству за ознакою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стат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 між суб’єктами взаємодії і затвердження відповідних програм/заходів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івненське районне управління поліції ГУНП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 Управління патрульної поліції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Рівненський міський центр зайнятості; Управління освіти; Служба у справах дітей; Рівненській міський центр соціальних служб; Управління охорони здоров’я; Управління праці та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соц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іального захисту населення; Рівненський місцевий центр з надання безоплатної вторинної правової допомоги; Рівненський міський суд Рівненської області; Рівненська місцева прокуратура;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івненський міськрайонний відділ філії Державної установи «Центр пробації» у Рівненській області,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(за згодою)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rPr>
          <w:trHeight w:val="1771"/>
        </w:trPr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color w:val="000000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3.4. Вжити заходи для забезпечення територіальної громади фахівцями із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соц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іальної роботи, психологами, фахівцями з виявлення осіб/сімей, які перебувають у складних життєвих обставинах, запобігання домашньому насильству та/або насильству за ознакою статі, надавати послуги постраждалим особам  та вжиття заходів реагування до кривдників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івненське районне управління поліції ГУНП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 Управління патрульної поліції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Рівненський міський центр зайнятості; Управління освіти; Служба у справах дітей; Рівненській міський центр соціальних служб; Управління охорони здоров’я; Управління праці та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соц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іального захисту населення; Рівненський місцевий центр з надання безоплатної вторинної правової допомоги; Рівненський міський суд Рівненської області; Рівненська місцева прокуратура;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івненський міськрайонний відділ філії Державної установи «Центр пробації» у Рівненській області,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 (за згодою)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rPr>
          <w:trHeight w:val="1771"/>
        </w:trPr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3.5. Забезпечувати проведення нарад, семінарів, «круглих столів», засідань координаційної ради з питань сім’ї, гендерної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івності, демографічного розвитку, запобігання і протидії домашньому 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насильству, насильству за ознакою статі та протидії торгівлі людьми, конференцій та тренінгів з питань запобігання торгівлі людьми та боротьби з нею.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івненське районне управління поліції ГУНП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 Управління патрульної поліції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Рівненський міський центр зайнятості; 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Управління освіти; Служба у справах дітей; Рівненській міський центр соціальних служб; Управління охорони здоров’я; Управління праці та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соц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іального захисту населення; Рівненський місцевий центр з надання безоплатної вторинної правової допомоги; Рівненський міський суд Рівненської області; Рівненська місцева прокуратура;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івненський міськрайонний відділ філії Державної установи «Центр пробації» у Рівненській області,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 (за згодою)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rPr>
          <w:trHeight w:val="1771"/>
        </w:trPr>
        <w:tc>
          <w:tcPr>
            <w:tcW w:w="534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4.</w:t>
            </w:r>
          </w:p>
        </w:tc>
        <w:tc>
          <w:tcPr>
            <w:tcW w:w="2268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 xml:space="preserve">Навчання та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п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 xml:space="preserve">ідвищення рівня професійної компетентності суб’єктів, що здійснюють заходи у сфері запобігання та протидії домашньому насильству та насильству за ознакою статі, з питань, що  регулюються Законами України «Про запобігання та протидію домашньому насильству», «Про </w:t>
            </w:r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lastRenderedPageBreak/>
              <w:t xml:space="preserve">забезпечення рівних прав та можливостей жінок і чоловіків» та іншими законодавчими актами, спрямованими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на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 xml:space="preserve"> роз’яснення зазначеної проблеми</w:t>
            </w: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4.1. Організовувати та проводити мультидисциплінарні тренінги на тему 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«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>Попередження домашнього насильства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» за участю суб’єкті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в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, які здійснюють заходи у сфері запобігання та протидії домашньому насильству.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івненський місцевий центр з надання безоплатної вторинної правової допомоги;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(за згодою)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992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47,5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8,5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9,0</w:t>
            </w:r>
          </w:p>
        </w:tc>
        <w:tc>
          <w:tcPr>
            <w:tcW w:w="708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9,5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10,0</w:t>
            </w:r>
          </w:p>
        </w:tc>
        <w:tc>
          <w:tcPr>
            <w:tcW w:w="850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10,5</w:t>
            </w:r>
          </w:p>
        </w:tc>
      </w:tr>
      <w:tr w:rsidR="005D4FF5" w:rsidRPr="005D4FF5" w:rsidTr="0093654D">
        <w:trPr>
          <w:trHeight w:val="1771"/>
        </w:trPr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 xml:space="preserve">4.2. Проводити навчання та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>п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>ідвищення рівня професійності соціальних педагогів, практичних психологів закладів загальної середньої освіти.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Управління освіти.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rPr>
          <w:trHeight w:val="1771"/>
        </w:trPr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4.3. Забезпечити проведення навчань для фахівців, які виконують програми для постраждалих осіб та надають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соц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іальні послуги постраждалим особам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івненське районне управління поліції ГУНП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 Управління патрульної поліції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Управління освіти; Рівненській міський центр соціальних служб; Управління охорони здоров’я;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(за згодою)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992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8,27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1,5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1,57</w:t>
            </w:r>
          </w:p>
        </w:tc>
        <w:tc>
          <w:tcPr>
            <w:tcW w:w="708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1,65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1,73</w:t>
            </w:r>
          </w:p>
        </w:tc>
        <w:tc>
          <w:tcPr>
            <w:tcW w:w="850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1,82</w:t>
            </w:r>
          </w:p>
        </w:tc>
      </w:tr>
      <w:tr w:rsidR="005D4FF5" w:rsidRPr="005D4FF5" w:rsidTr="0093654D">
        <w:trPr>
          <w:trHeight w:val="1771"/>
        </w:trPr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4.4. Забезпечити проведення навчань для фахівці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в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, які виконують програми для кривдників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івненське районне управління поліції ГУНП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 Управління патрульної поліції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Управління освіти; Рівненській міський центр соціальних служб; Управління охорони здоров’я;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 (за згодою)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992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8,27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1,5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1,57</w:t>
            </w:r>
          </w:p>
        </w:tc>
        <w:tc>
          <w:tcPr>
            <w:tcW w:w="708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1,65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1,73</w:t>
            </w:r>
          </w:p>
        </w:tc>
        <w:tc>
          <w:tcPr>
            <w:tcW w:w="850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1,82</w:t>
            </w:r>
          </w:p>
        </w:tc>
      </w:tr>
      <w:tr w:rsidR="005D4FF5" w:rsidRPr="005D4FF5" w:rsidTr="0093654D">
        <w:trPr>
          <w:trHeight w:val="1771"/>
        </w:trPr>
        <w:tc>
          <w:tcPr>
            <w:tcW w:w="534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5.</w:t>
            </w:r>
          </w:p>
        </w:tc>
        <w:tc>
          <w:tcPr>
            <w:tcW w:w="2268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 xml:space="preserve">Забезпечення збирання, реєстрації, накопичення, зберігання, адаптування, зміни, поновлення, використання, поширення (розповсюдження, реалізації, передачі), </w:t>
            </w:r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lastRenderedPageBreak/>
              <w:t xml:space="preserve">знеособлення і знищення даних про випадки домашнього насильства та насильства за ознакою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стат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і</w:t>
            </w: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lastRenderedPageBreak/>
              <w:t xml:space="preserve">5.1. Забезпечити ведення на місцевому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івні Єдиного державного реєстру випадків домашнього насильства та насильства за ознакою статі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івненське районне управління поліції ГУНП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 Управління патрульної поліції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Управління освіти; Служба у справах дітей; Рівненській міський центр соціальних служб; 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Управління охорони здоров’я; Управління праці та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соц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іального захисту населення; Рівненський місцевий центр з надання безоплатної вторинної правової допомоги;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 (за згодою)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rPr>
          <w:trHeight w:val="1771"/>
        </w:trPr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5.2. Вести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обл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ік дітей, які постраждали від домашнього насильства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Служба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у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справах дітей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rPr>
          <w:trHeight w:val="802"/>
        </w:trPr>
        <w:tc>
          <w:tcPr>
            <w:tcW w:w="534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6.</w:t>
            </w:r>
          </w:p>
        </w:tc>
        <w:tc>
          <w:tcPr>
            <w:tcW w:w="2268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 xml:space="preserve">Надання кожній постраждалій особі інформації про її права та можливості реалізації таких прав зрозумілою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для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 xml:space="preserve"> неї мовою або через перекладача чи залучену третю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особу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, яка володіє мовою, зрозумілою постраждалій особі, та забезпечення реалізації таких прав</w:t>
            </w: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6.1. Забезпечити отримання постраждалою особою повної та вичерпної інформації від суб’єктів, що здійснюють заходи у сфері запобігання та протидії домашньому насильству, про свої права і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соц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іальні послуги, медичну, соціальну, психологічну допомогу, якими вона може скористатися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івненське районне управління поліції ГУНП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 Управління патрульної поліції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Управління освіти; Служба у справах дітей; Рівненській міський центр соціальних служб; Управління охорони здоров’я; Управління праці та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соц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іального захисту населення; Рівненський місцевий центр з надання безоплатної вторинної правової допомоги;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(за згодою)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rPr>
          <w:trHeight w:val="1771"/>
        </w:trPr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6.2. Забезпечувати анонімну допомогу психологічного та інформаційного характеру в телефонному режимі (у форматі гарячої лінії / телефону довіри), відповідна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п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ідготовка спеціалістів, які надаватимуть дані послуги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Управління патрульної поліції в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івненській області.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7.</w:t>
            </w:r>
          </w:p>
        </w:tc>
        <w:tc>
          <w:tcPr>
            <w:tcW w:w="2268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 xml:space="preserve">Забезпечення доступу до загальних та спеціалізованих служб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п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ідтримки постраждалих осіб для отримання соціальних послуг медичної, соціальної, психологічної допомоги</w:t>
            </w: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ind w:left="-108" w:right="-108"/>
              <w:rPr>
                <w:rFonts w:ascii="Times New Roman" w:eastAsia="Lucida Sans Unicode" w:hAnsi="Times New Roman" w:cs="Times New Roman"/>
                <w:color w:val="000000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 xml:space="preserve">7.1. Забезпечити діяльності спеціалізованої служби первинного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>соц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>іально – психологічного консультування осіб, які постраждали від домашнього насильства та/або насильства за ознакою статі.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івненській міський центр соціальних служб 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992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537,596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95,892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105,056</w:t>
            </w:r>
          </w:p>
        </w:tc>
        <w:tc>
          <w:tcPr>
            <w:tcW w:w="708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112,216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112,216</w:t>
            </w:r>
          </w:p>
        </w:tc>
        <w:tc>
          <w:tcPr>
            <w:tcW w:w="850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112,216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 xml:space="preserve">7.2. Забезпечити діяльність Мобільної бригади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>соц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>іально – психологічної допомоги особам, які постраждали від домашнього насильства та/або насильства за ознакою статі.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івненській міський центр соціальних служб 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992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1027,406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-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246,113</w:t>
            </w:r>
          </w:p>
        </w:tc>
        <w:tc>
          <w:tcPr>
            <w:tcW w:w="708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260,431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260,431</w:t>
            </w:r>
          </w:p>
        </w:tc>
        <w:tc>
          <w:tcPr>
            <w:tcW w:w="850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260,431</w:t>
            </w:r>
          </w:p>
        </w:tc>
      </w:tr>
      <w:tr w:rsidR="005D4FF5" w:rsidRPr="005D4FF5" w:rsidTr="0093654D">
        <w:tc>
          <w:tcPr>
            <w:tcW w:w="534" w:type="dxa"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8.</w:t>
            </w:r>
          </w:p>
        </w:tc>
        <w:tc>
          <w:tcPr>
            <w:tcW w:w="2268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lang w:eastAsia="uk-UA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 xml:space="preserve">Забезпечення постраждалим особам доступу до правосуддя та інших механізмів юридичного захисту,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у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 xml:space="preserve">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тому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 xml:space="preserve"> числі шляхом надання безоплатної правової допомоги у </w:t>
            </w:r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lastRenderedPageBreak/>
              <w:t>порядку, встановленому Законом України «Про безоплатну правову допомогу»,  та доступу до медичних послуг, послуг з охорони психічного здоров’я, судово-медичної експертизи</w:t>
            </w: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lastRenderedPageBreak/>
              <w:t xml:space="preserve">8.1. Забезпечити доступу осіб, постраждалих від зґвалтування, фізичного та/або сексуального насильства, до медичної допомоги; судово-медичної, судово-психіатричної, судово-психологічної експертизи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lastRenderedPageBreak/>
              <w:t>(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за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 потреби); послуг з охорони психічного здоров’я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Управління охорони здоров’я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val="en-US"/>
              </w:rPr>
              <w:lastRenderedPageBreak/>
              <w:t>9.</w:t>
            </w:r>
          </w:p>
        </w:tc>
        <w:tc>
          <w:tcPr>
            <w:tcW w:w="2268" w:type="dxa"/>
            <w:vMerge w:val="restart"/>
          </w:tcPr>
          <w:p w:rsidR="005D4FF5" w:rsidRPr="005D4FF5" w:rsidRDefault="005D4FF5" w:rsidP="005D4FF5">
            <w:pPr>
              <w:widowControl w:val="0"/>
              <w:ind w:left="-108" w:right="-108"/>
              <w:rPr>
                <w:rFonts w:ascii="Times New Roman" w:eastAsia="Lucida Sans Unicode" w:hAnsi="Times New Roman" w:cs="Times New Roman"/>
                <w:color w:val="000000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 xml:space="preserve">Забезпечення реагування на випадки домашнього насильства та насильства за ознакою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стат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uk-UA"/>
              </w:rPr>
              <w:t>і, створення умов для цілодобового опрацювання звернень/повідо-млень громадян з питань домашнього насильства, насильства за ознакою статі та насильства стосовно дітей та за участю дітей</w:t>
            </w: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9.1. Виявляти та надавати комплекс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соц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іальних послуг дітям, які перебувають у складних життєвих обставинах, пов’язаних з проблемою домашнього насильства 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Служба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у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справах дітей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color w:val="000000"/>
                <w:kern w:val="1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9.2. Проводити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проф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ілактичні роботи з батьками щодо запобігання насильства стосовно дітей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Служба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у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справах дітей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9.3. Інформувати дітей, її батьків, інших законних представникі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в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про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 права дитини, заходи та послуги, якими вони можуть скористатися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молоді та спорту;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івненське районне управління поліції ГУНП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 Управління патрульної поліції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Управління освіти; Служба у справах дітей; Рівненській міський центр соціальних служб; Управління охорони здоров’я; Управління праці та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соц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іального захисту населення; Рівненський 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місцевий центр з надання безоплатної вторинної правової допомоги;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 (за згодою)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10.</w:t>
            </w:r>
          </w:p>
        </w:tc>
        <w:tc>
          <w:tcPr>
            <w:tcW w:w="2268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lang w:eastAsia="uk-UA"/>
              </w:rPr>
            </w:pPr>
            <w:r w:rsidRPr="005D4FF5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uk-UA"/>
              </w:rPr>
              <w:t>Забезпечити належне розслідування фактів домашнього насильства, притягнення кривдникі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uk-UA"/>
              </w:rPr>
              <w:t>в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bCs/>
                <w:kern w:val="1"/>
                <w:sz w:val="23"/>
                <w:szCs w:val="23"/>
                <w:lang w:eastAsia="uk-UA"/>
              </w:rPr>
              <w:t xml:space="preserve"> до передбаченої законом відповідальності та зміна їх поведінки</w:t>
            </w: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10.1. Забезпечити виконання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ішень судів про проходження програм для кривдників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молод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 та спорту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 xml:space="preserve">10.2. Забезпечити уповноваженим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п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ідрозділом органу Національної поліції взяття на профілактичний облік кривдника з моменту виявлення факту вчинення ним домашнього насильства та/або насильства за ознакою статі на встановлений законодавством строк і проведення з ним профілактичної роботи відповідно до законодавства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івненське районне управління поліції ГУНП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 Управління патрульної поліції в Рівненській області;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 (за згодою)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ind w:left="-108" w:right="-108"/>
              <w:rPr>
                <w:rFonts w:ascii="Times New Roman" w:eastAsia="Times New Roman" w:hAnsi="Times New Roman" w:cs="Times New Roman"/>
                <w:lang w:eastAsia="uk-UA"/>
              </w:rPr>
            </w:pPr>
            <w:r w:rsidRPr="005D4FF5">
              <w:rPr>
                <w:rFonts w:ascii="Times New Roman" w:eastAsia="Times New Roman" w:hAnsi="Times New Roman" w:cs="Times New Roman"/>
                <w:lang w:eastAsia="uk-UA"/>
              </w:rPr>
              <w:t xml:space="preserve">10.3. Забезпечення проходження пробаційних програм відповідно </w:t>
            </w:r>
            <w:proofErr w:type="gramStart"/>
            <w:r w:rsidRPr="005D4FF5">
              <w:rPr>
                <w:rFonts w:ascii="Times New Roman" w:eastAsia="Times New Roman" w:hAnsi="Times New Roman" w:cs="Times New Roman"/>
                <w:lang w:eastAsia="uk-UA"/>
              </w:rPr>
              <w:t>до</w:t>
            </w:r>
            <w:proofErr w:type="gramEnd"/>
            <w:r w:rsidRPr="005D4FF5">
              <w:rPr>
                <w:rFonts w:ascii="Times New Roman" w:eastAsia="Times New Roman" w:hAnsi="Times New Roman" w:cs="Times New Roman"/>
                <w:lang w:eastAsia="uk-UA"/>
              </w:rPr>
              <w:t xml:space="preserve"> пункту 4 частини третьої статті 76 Кримінального кодексу України у разі покладення судом відповідного обов’язку на кривдника, зокрема на дитину-кривдника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івненський міськрайонний відділ філії Державної установи «Центр пробації» у Рівненській області;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(за згодою)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11.</w:t>
            </w:r>
          </w:p>
        </w:tc>
        <w:tc>
          <w:tcPr>
            <w:tcW w:w="2268" w:type="dxa"/>
            <w:vMerge w:val="restart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  <w:lang w:eastAsia="uk-UA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Запобігання та протидія торгі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вл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і людьми, її профілактика</w:t>
            </w: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11.1.Організовувати та проводити мультидисциплінарні тренінги на тему 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«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>Протидія торгі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вл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 людьми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»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, навчальні семінари з попередження неврегульованої міграції та протидії торгівлі людьми, відеолекторії та інтерактивні дискусії 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«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>Як не стати жертвою торгівлі людьми</w:t>
            </w: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»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для підлітків групи ризику.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молод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 та спорту;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інститути громадянського суспільства (за згодою)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992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60,85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10,95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11,53</w:t>
            </w:r>
          </w:p>
        </w:tc>
        <w:tc>
          <w:tcPr>
            <w:tcW w:w="708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12,14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12,78</w:t>
            </w:r>
          </w:p>
        </w:tc>
        <w:tc>
          <w:tcPr>
            <w:tcW w:w="850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13,45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ind w:left="-108" w:right="-108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11.2.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П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ідвищувати рівень інформованості населення щодо засобів і методів, які використовуються торговцями людьми шляхом організації та здійснення інформаційно-просвітницьких заходів. Постійно в місцевих засобах масової інформації висвітлювати питання зайнятості та професійної орієнтації населення, ринку праці і діяльності державної служби зайнятості.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молод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 та спорту; </w:t>
            </w:r>
          </w:p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spacing w:val="-6"/>
                <w:kern w:val="1"/>
              </w:rPr>
            </w:pPr>
            <w:proofErr w:type="gramStart"/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івненський міський центр зайнятості;</w:t>
            </w:r>
          </w:p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 xml:space="preserve">Управління патрульної поліції в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івненській області.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ind w:left="-108" w:right="-108"/>
              <w:rPr>
                <w:rFonts w:ascii="Times New Roman" w:eastAsia="Lucida Sans Unicode" w:hAnsi="Times New Roman" w:cs="Times New Roman"/>
                <w:color w:val="000000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11.3.Інформувати населення міста про наявні актуальні вакансії, сприяти залученню жінок до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п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ідприємницької діяльності та 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самозайнятості, зростанню їх професійної мобільності. Забезпечити професійну підготовку молоді, що перебуває на обліку в центрі зайнятості, та сприяти її подальшому працевлаштуванню.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proofErr w:type="gramStart"/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івненський міський центр зайнятості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ind w:left="-108" w:right="-108"/>
              <w:rPr>
                <w:rFonts w:ascii="Times New Roman" w:eastAsia="Lucida Sans Unicode" w:hAnsi="Times New Roman" w:cs="Times New Roman"/>
                <w:color w:val="000000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11.4.Аналізувати стан вакансій, які пропонуються роботодавцями, проводити роботу з професійної орієнтації громадян, в т. ч. жінок, молоді та учнів загальноосвітніх шкіл. Щоденно проводити роботу по забезпеченню громадян, які знаходяться в пошуку роботи, інформацією про наявність вільних робочих місць та вакантних посад.</w:t>
            </w:r>
            <w:proofErr w:type="gramEnd"/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proofErr w:type="gramStart"/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spacing w:val="-6"/>
                <w:kern w:val="1"/>
              </w:rPr>
              <w:t>івненський міський центр зайнятості.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ind w:left="-108" w:right="-108"/>
              <w:rPr>
                <w:rFonts w:ascii="Times New Roman" w:eastAsia="Lucida Sans Unicode" w:hAnsi="Times New Roman" w:cs="Times New Roman"/>
                <w:color w:val="000000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 xml:space="preserve">11.5. Організація та проведення за участю дітей, учнів, їх батьків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>проф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color w:val="000000"/>
                <w:kern w:val="1"/>
              </w:rPr>
              <w:t>ілактичних і просвітницьких заходів щодо запобігання та протидії торгівлі людьми.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Управління освіти.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ind w:left="-108" w:right="-108"/>
              <w:rPr>
                <w:rFonts w:ascii="Times New Roman" w:eastAsia="Lucida Sans Unicode" w:hAnsi="Times New Roman" w:cs="Times New Roman"/>
                <w:color w:val="000000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@Arial Unicode MS" w:hAnsi="Times New Roman" w:cs="Times New Roman"/>
                <w:color w:val="000000"/>
                <w:kern w:val="1"/>
                <w:shd w:val="clear" w:color="auto" w:fill="FFFFFF"/>
              </w:rPr>
              <w:t xml:space="preserve">11.6. Організація та проведення для дітей молодшого та середнього шкільного віку </w:t>
            </w:r>
            <w:proofErr w:type="gramStart"/>
            <w:r w:rsidRPr="005D4FF5">
              <w:rPr>
                <w:rFonts w:ascii="Times New Roman" w:eastAsia="@Arial Unicode MS" w:hAnsi="Times New Roman" w:cs="Times New Roman"/>
                <w:color w:val="000000"/>
                <w:kern w:val="1"/>
                <w:shd w:val="clear" w:color="auto" w:fill="FFFFFF"/>
              </w:rPr>
              <w:t>п</w:t>
            </w:r>
            <w:proofErr w:type="gramEnd"/>
            <w:r w:rsidRPr="005D4FF5">
              <w:rPr>
                <w:rFonts w:ascii="Times New Roman" w:eastAsia="@Arial Unicode MS" w:hAnsi="Times New Roman" w:cs="Times New Roman"/>
                <w:color w:val="000000"/>
                <w:kern w:val="1"/>
                <w:shd w:val="clear" w:color="auto" w:fill="FFFFFF"/>
              </w:rPr>
              <w:t xml:space="preserve">ізнавальну гру «Ліза та </w:t>
            </w:r>
            <w:r w:rsidRPr="005D4FF5">
              <w:rPr>
                <w:rFonts w:ascii="Times New Roman" w:eastAsia="@Arial Unicode MS" w:hAnsi="Times New Roman" w:cs="Times New Roman"/>
                <w:color w:val="000000"/>
                <w:kern w:val="1"/>
                <w:shd w:val="clear" w:color="auto" w:fill="FFFFFF"/>
              </w:rPr>
              <w:lastRenderedPageBreak/>
              <w:t>її друзі подорожують світом» з метою інформування учнів про проблему торгівлі людьми і правил безпечних подорожей.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Управління освіти.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ind w:left="-108" w:right="-108"/>
              <w:rPr>
                <w:rFonts w:ascii="Times New Roman" w:eastAsia="Lucida Sans Unicode" w:hAnsi="Times New Roman" w:cs="Times New Roman"/>
                <w:color w:val="000000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@Arial Unicode MS" w:hAnsi="Times New Roman" w:cs="Times New Roman"/>
                <w:color w:val="000000"/>
                <w:kern w:val="1"/>
                <w:shd w:val="clear" w:color="auto" w:fill="FFFFFF"/>
              </w:rPr>
              <w:t xml:space="preserve">11.7. Організація та проведення квестів, інтерактивних діалогів для </w:t>
            </w:r>
            <w:proofErr w:type="gramStart"/>
            <w:r w:rsidRPr="005D4FF5">
              <w:rPr>
                <w:rFonts w:ascii="Times New Roman" w:eastAsia="@Arial Unicode MS" w:hAnsi="Times New Roman" w:cs="Times New Roman"/>
                <w:color w:val="000000"/>
                <w:kern w:val="1"/>
                <w:shd w:val="clear" w:color="auto" w:fill="FFFFFF"/>
              </w:rPr>
              <w:t>п</w:t>
            </w:r>
            <w:proofErr w:type="gramEnd"/>
            <w:r w:rsidRPr="005D4FF5">
              <w:rPr>
                <w:rFonts w:ascii="Times New Roman" w:eastAsia="@Arial Unicode MS" w:hAnsi="Times New Roman" w:cs="Times New Roman"/>
                <w:color w:val="000000"/>
                <w:kern w:val="1"/>
                <w:shd w:val="clear" w:color="auto" w:fill="FFFFFF"/>
              </w:rPr>
              <w:t>ідлітків з метою інформування учнів про проблему торгівлі людьми.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Управління освіти.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ind w:left="-108" w:right="-108"/>
              <w:rPr>
                <w:rFonts w:ascii="Times New Roman" w:eastAsia="Lucida Sans Unicode" w:hAnsi="Times New Roman" w:cs="Times New Roman"/>
                <w:color w:val="000000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11.8. Розроблення, виготовлення та розповсюдження рекламної продукції (листівки, буклети, плакати, віде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о-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та радіоролики) з питань насилля, протидії торгівлі людьми та надання послуг особам, які постраждали від такого злочину.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молод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 та спорту;</w:t>
            </w:r>
          </w:p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Управління освіти;</w:t>
            </w:r>
          </w:p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івненський міський центр зайнятості; </w:t>
            </w:r>
          </w:p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Служба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у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справах дітей;</w:t>
            </w:r>
          </w:p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івненській міський центр соціальних служб; </w:t>
            </w:r>
          </w:p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Управління охорони здоров’я;</w:t>
            </w:r>
          </w:p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івненський місцевий центр з надання безоплатної вторинної правової допомоги;</w:t>
            </w:r>
          </w:p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Р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івненський міськрайонний відділ філії Державної установи «Центр пробації» у Рівненській області.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992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6,93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1,26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1,32</w:t>
            </w:r>
          </w:p>
        </w:tc>
        <w:tc>
          <w:tcPr>
            <w:tcW w:w="708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1,38</w:t>
            </w:r>
          </w:p>
        </w:tc>
        <w:tc>
          <w:tcPr>
            <w:tcW w:w="85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1,45</w:t>
            </w:r>
          </w:p>
        </w:tc>
        <w:tc>
          <w:tcPr>
            <w:tcW w:w="850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1,52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ind w:left="-108" w:right="-108"/>
              <w:rPr>
                <w:rFonts w:ascii="Times New Roman" w:eastAsia="Lucida Sans Unicode" w:hAnsi="Times New Roman" w:cs="Times New Roman"/>
                <w:color w:val="000000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11.9. Сприяти співробітництву з </w:t>
            </w:r>
            <w:r w:rsidRPr="005D4FF5">
              <w:rPr>
                <w:rFonts w:ascii="Times New Roman" w:eastAsia="Lucida Sans Unicode" w:hAnsi="Times New Roman" w:cs="Times New Roman"/>
                <w:kern w:val="1"/>
                <w:lang w:eastAsia="uk-UA"/>
              </w:rPr>
              <w:t>інститутами громадянського суспільства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та міжнародними організаціями і фондами, </w:t>
            </w: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які працюють у напрямках запобігання та протидії торгі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вл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 людьми, захисту прав осіб, що постраждали від таких злочинів, розшуку осіб, які зникли за кордоном, повернення додому та реабілітації осіб, що постраждали від торгівлі людьми.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Управління освіти;</w:t>
            </w:r>
          </w:p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Управління у справах сім’ї,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молод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 та спорту.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  <w:tr w:rsidR="005D4FF5" w:rsidRPr="005D4FF5" w:rsidTr="0093654D">
        <w:tc>
          <w:tcPr>
            <w:tcW w:w="534" w:type="dxa"/>
            <w:vMerge/>
          </w:tcPr>
          <w:p w:rsidR="005D4FF5" w:rsidRPr="005D4FF5" w:rsidRDefault="005D4FF5" w:rsidP="005D4FF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:rsidR="005D4FF5" w:rsidRPr="005D4FF5" w:rsidRDefault="005D4FF5" w:rsidP="005D4FF5">
            <w:pPr>
              <w:widowControl w:val="0"/>
              <w:ind w:left="-108" w:right="-108"/>
              <w:rPr>
                <w:rFonts w:ascii="Times New Roman" w:eastAsia="Lucida Sans Unicode" w:hAnsi="Times New Roman" w:cs="Times New Roman"/>
                <w:color w:val="000000"/>
                <w:kern w:val="1"/>
                <w:lang w:eastAsia="uk-UA"/>
              </w:rPr>
            </w:pPr>
          </w:p>
        </w:tc>
        <w:tc>
          <w:tcPr>
            <w:tcW w:w="2409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11.10. Проводити роз’яснювальну роботу серед батьків, опікунів і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п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іклувальників, прийомних батьків і батьків-вихователів, які звертаються за наданням дозволу на виїзд дитини за кордон, щодо засобів і методів, які використовуються торговцями людьми, а також щодо правових наслідків порушення законодавства, спрямованого на протидію торгівлі людьми.</w:t>
            </w:r>
          </w:p>
        </w:tc>
        <w:tc>
          <w:tcPr>
            <w:tcW w:w="1417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9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2022-2026 роки</w:t>
            </w:r>
          </w:p>
        </w:tc>
        <w:tc>
          <w:tcPr>
            <w:tcW w:w="2552" w:type="dxa"/>
          </w:tcPr>
          <w:p w:rsidR="005D4FF5" w:rsidRPr="005D4FF5" w:rsidRDefault="005D4FF5" w:rsidP="005D4FF5">
            <w:pPr>
              <w:widowControl w:val="0"/>
              <w:suppressAutoHyphens/>
              <w:ind w:left="-107" w:right="-108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Служба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у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 справах дітей.</w:t>
            </w:r>
          </w:p>
        </w:tc>
        <w:tc>
          <w:tcPr>
            <w:tcW w:w="1701" w:type="dxa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 xml:space="preserve">Бюджет </w:t>
            </w:r>
            <w:proofErr w:type="gramStart"/>
            <w:r w:rsidRPr="005D4FF5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 w:rsidRPr="005D4FF5">
              <w:rPr>
                <w:rFonts w:ascii="Times New Roman" w:eastAsia="Lucida Sans Unicode" w:hAnsi="Times New Roman" w:cs="Times New Roman"/>
                <w:kern w:val="1"/>
              </w:rPr>
              <w:t>іської територіальної громади</w:t>
            </w:r>
          </w:p>
        </w:tc>
        <w:tc>
          <w:tcPr>
            <w:tcW w:w="5103" w:type="dxa"/>
            <w:gridSpan w:val="6"/>
          </w:tcPr>
          <w:p w:rsidR="005D4FF5" w:rsidRPr="005D4FF5" w:rsidRDefault="005D4FF5" w:rsidP="005D4FF5">
            <w:pPr>
              <w:widowControl w:val="0"/>
              <w:suppressAutoHyphens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5D4FF5">
              <w:rPr>
                <w:rFonts w:ascii="Times New Roman" w:eastAsia="Lucida Sans Unicode" w:hAnsi="Times New Roman" w:cs="Times New Roman"/>
                <w:kern w:val="1"/>
              </w:rPr>
              <w:t>Згідно кошторисних призначень</w:t>
            </w:r>
          </w:p>
        </w:tc>
      </w:tr>
    </w:tbl>
    <w:p w:rsidR="005D4FF5" w:rsidRPr="005D4FF5" w:rsidRDefault="005D4FF5" w:rsidP="005D4FF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val="ru-RU"/>
        </w:rPr>
      </w:pPr>
    </w:p>
    <w:p w:rsidR="005D4FF5" w:rsidRPr="005D4FF5" w:rsidRDefault="005D4FF5" w:rsidP="005D4FF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val="ru-RU"/>
        </w:rPr>
      </w:pPr>
    </w:p>
    <w:p w:rsidR="005D4FF5" w:rsidRPr="005D4FF5" w:rsidRDefault="005D4FF5" w:rsidP="005D4FF5">
      <w:pPr>
        <w:spacing w:after="0"/>
        <w:rPr>
          <w:rFonts w:ascii="Times New Roman" w:eastAsia="Calibri" w:hAnsi="Times New Roman" w:cs="Times New Roman"/>
          <w:b/>
          <w:sz w:val="28"/>
          <w:szCs w:val="27"/>
          <w:lang w:eastAsia="uk-UA"/>
        </w:rPr>
        <w:sectPr w:rsidR="005D4FF5" w:rsidRPr="005D4FF5" w:rsidSect="00720F2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5D4FF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Секретар міської ради</w:t>
      </w:r>
      <w:r w:rsidRPr="005D4FF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ab/>
      </w:r>
      <w:r w:rsidRPr="005D4FF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ab/>
      </w:r>
      <w:r w:rsidRPr="005D4FF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ab/>
      </w:r>
      <w:r w:rsidRPr="005D4FF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ab/>
      </w:r>
      <w:r w:rsidRPr="005D4FF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ab/>
      </w:r>
      <w:r w:rsidRPr="005D4FF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ab/>
      </w:r>
      <w:r w:rsidRPr="005D4FF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ab/>
      </w:r>
      <w:r w:rsidRPr="005D4FF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ab/>
      </w:r>
      <w:r w:rsidRPr="005D4FF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ab/>
      </w:r>
      <w:r w:rsidRPr="005D4FF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ab/>
      </w:r>
      <w:r w:rsidRPr="005D4FF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ab/>
      </w:r>
      <w:r w:rsidRPr="005D4FF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ab/>
      </w:r>
      <w:r w:rsidRPr="005D4FF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ab/>
      </w:r>
      <w:r w:rsidRPr="005D4FF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ab/>
      </w:r>
      <w:r w:rsidRPr="005D4FF5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ab/>
        <w:t xml:space="preserve">Віктор </w:t>
      </w:r>
      <w:r w:rsidRPr="005D4FF5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> </w:t>
      </w:r>
      <w:r w:rsidRPr="005D4FF5">
        <w:rPr>
          <w:rFonts w:ascii="Times New Roman" w:eastAsia="Calibri" w:hAnsi="Times New Roman" w:cs="Times New Roman"/>
          <w:bCs/>
          <w:caps/>
          <w:sz w:val="28"/>
          <w:szCs w:val="28"/>
          <w:lang w:eastAsia="uk-UA"/>
        </w:rPr>
        <w:t>Шакирзян</w:t>
      </w:r>
    </w:p>
    <w:p w:rsidR="00F26EA7" w:rsidRPr="005D4FF5" w:rsidRDefault="00F26EA7"/>
    <w:sectPr w:rsidR="00F26EA7" w:rsidRPr="005D4FF5" w:rsidSect="00F26E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hyphenationZone w:val="425"/>
  <w:characterSpacingControl w:val="doNotCompress"/>
  <w:compat/>
  <w:rsids>
    <w:rsidRoot w:val="005D4FF5"/>
    <w:rsid w:val="005D4FF5"/>
    <w:rsid w:val="00F2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FF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16631</Words>
  <Characters>9480</Characters>
  <Application>Microsoft Office Word</Application>
  <DocSecurity>0</DocSecurity>
  <Lines>79</Lines>
  <Paragraphs>52</Paragraphs>
  <ScaleCrop>false</ScaleCrop>
  <Company/>
  <LinksUpToDate>false</LinksUpToDate>
  <CharactersWithSpaces>26059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2021-11-05T13:19:00Z</dcterms:created>
  <dcterms:modified xsi:type="dcterms:W3CDTF">2021-11-05T13:20:00Z</dcterms:modified>
</cp:coreProperties>
</file>